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F066" w14:textId="77777777" w:rsidR="00D87E5B" w:rsidRDefault="00D87E5B" w:rsidP="00D87E5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1D8145" wp14:editId="1FF52848">
            <wp:extent cx="484505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604E" w14:textId="77777777" w:rsidR="00D87E5B" w:rsidRPr="007272ED" w:rsidRDefault="00D87E5B" w:rsidP="00D87E5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>УКРАЇНА</w:t>
      </w:r>
    </w:p>
    <w:p w14:paraId="75F675B6" w14:textId="77777777" w:rsidR="00D87E5B" w:rsidRPr="007272ED" w:rsidRDefault="00D87E5B" w:rsidP="00D87E5B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0B0EBE1B" w14:textId="77777777" w:rsidR="00D87E5B" w:rsidRPr="007272ED" w:rsidRDefault="00D87E5B" w:rsidP="00D87E5B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4F9FD65E" w14:textId="77777777" w:rsidR="00D87E5B" w:rsidRPr="007272ED" w:rsidRDefault="00D87E5B" w:rsidP="00D87E5B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1EFB5B5" w14:textId="77777777" w:rsidR="00D87E5B" w:rsidRPr="007272ED" w:rsidRDefault="00D87E5B" w:rsidP="00D87E5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40</w:t>
      </w:r>
      <w:r w:rsidRPr="007272ED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41AA743" w14:textId="77777777" w:rsidR="00D87E5B" w:rsidRPr="007272ED" w:rsidRDefault="00D87E5B" w:rsidP="00D87E5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D8F8C42" w14:textId="77777777" w:rsidR="00D87E5B" w:rsidRDefault="00D87E5B" w:rsidP="00D87E5B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77048E6C" w14:textId="77777777" w:rsidR="00D87E5B" w:rsidRDefault="00D87E5B" w:rsidP="00D87E5B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25 вересня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9-40/2024</w:t>
      </w:r>
    </w:p>
    <w:p w14:paraId="04D8CC42" w14:textId="77777777" w:rsidR="00D87E5B" w:rsidRDefault="00D87E5B" w:rsidP="00D87E5B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D87E5B" w14:paraId="5F68A59A" w14:textId="77777777" w:rsidTr="009108C1">
        <w:trPr>
          <w:trHeight w:val="700"/>
        </w:trPr>
        <w:tc>
          <w:tcPr>
            <w:tcW w:w="4686" w:type="dxa"/>
          </w:tcPr>
          <w:p w14:paraId="0C20BFBE" w14:textId="77777777" w:rsidR="00D87E5B" w:rsidRPr="00344EC1" w:rsidRDefault="00D87E5B" w:rsidP="009108C1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 xml:space="preserve">Про </w:t>
            </w:r>
            <w:bookmarkEnd w:id="0"/>
            <w:r>
              <w:rPr>
                <w:lang w:val="uk-UA"/>
              </w:rPr>
              <w:t xml:space="preserve">надання дозволу на здійснення капітального ремонту орендованих основних засобів </w:t>
            </w:r>
          </w:p>
        </w:tc>
      </w:tr>
    </w:tbl>
    <w:p w14:paraId="4CA5ED05" w14:textId="77777777" w:rsidR="00D87E5B" w:rsidRDefault="00D87E5B" w:rsidP="00D87E5B">
      <w:pPr>
        <w:spacing w:after="0"/>
        <w:ind w:firstLine="851"/>
        <w:jc w:val="both"/>
        <w:rPr>
          <w:szCs w:val="28"/>
          <w:lang w:val="uk-UA"/>
        </w:rPr>
      </w:pPr>
    </w:p>
    <w:p w14:paraId="1482BE1F" w14:textId="77777777" w:rsidR="00D87E5B" w:rsidRDefault="00D87E5B" w:rsidP="00D87E5B">
      <w:pPr>
        <w:spacing w:after="0"/>
        <w:ind w:firstLine="851"/>
        <w:jc w:val="both"/>
        <w:rPr>
          <w:lang w:val="uk-UA"/>
        </w:rPr>
      </w:pPr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статті 21 Закону України «Про оренду державного та комунального майна» від 03 жовтня 2019 року № 157-IX, пункту 153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8D07B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r w:rsidRPr="00B561C9">
        <w:rPr>
          <w:lang w:val="uk-UA"/>
        </w:rPr>
        <w:t>,</w:t>
      </w:r>
      <w:r>
        <w:rPr>
          <w:lang w:val="uk-UA"/>
        </w:rPr>
        <w:t xml:space="preserve"> враховуючи лист товариства з обмеженою відповідальністю «</w:t>
      </w:r>
      <w:proofErr w:type="spellStart"/>
      <w:r>
        <w:rPr>
          <w:lang w:val="uk-UA"/>
        </w:rPr>
        <w:t>НіжинТеплоМережі</w:t>
      </w:r>
      <w:proofErr w:type="spellEnd"/>
      <w:r>
        <w:rPr>
          <w:lang w:val="uk-UA"/>
        </w:rPr>
        <w:t>», щодо надання дозволу на проведення капітального ремонту котлів КБН-Г-2,5 від 02 вересня 2024 року № 01-07/1233 та висновки експертизи від 12 квітня 2024 року № 42823131-1.2/0103/03.24,       № 42823131-1.2/0103/04.24, міська рада вирішила:</w:t>
      </w:r>
    </w:p>
    <w:p w14:paraId="76C474EA" w14:textId="77777777" w:rsidR="00D87E5B" w:rsidRDefault="00D87E5B" w:rsidP="00D87E5B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>1. Надати дозвіл</w:t>
      </w:r>
      <w:r w:rsidRPr="00446D19">
        <w:rPr>
          <w:lang w:val="uk-UA"/>
        </w:rPr>
        <w:t xml:space="preserve"> </w:t>
      </w:r>
      <w:r>
        <w:rPr>
          <w:lang w:val="uk-UA"/>
        </w:rPr>
        <w:t>товариству з обмеженою відповідальністю «</w:t>
      </w:r>
      <w:proofErr w:type="spellStart"/>
      <w:r>
        <w:rPr>
          <w:lang w:val="uk-UA"/>
        </w:rPr>
        <w:t>НіжинТеплоМережі</w:t>
      </w:r>
      <w:proofErr w:type="spellEnd"/>
      <w:r>
        <w:rPr>
          <w:lang w:val="uk-UA"/>
        </w:rPr>
        <w:t>» на здійснення капітального ремонту орендованого майна за Договором оренди цілісного майнового комплексу від 24 грудня                2003 року (зі змінами), а саме: котлів КБН-Г-2,5, в кількості 2 (дві) одиниці, за адресою: Чернігівська область, місто Ніжин, вулиця Покровська, будинок 2, що перебуває на балансі</w:t>
      </w:r>
      <w:r w:rsidRPr="00121C33">
        <w:rPr>
          <w:lang w:val="uk-UA"/>
        </w:rPr>
        <w:t xml:space="preserve"> </w:t>
      </w:r>
      <w:r>
        <w:rPr>
          <w:lang w:val="uk-UA"/>
        </w:rPr>
        <w:t>товариства з обмеженою відповідальністю «</w:t>
      </w:r>
      <w:proofErr w:type="spellStart"/>
      <w:r>
        <w:rPr>
          <w:lang w:val="uk-UA"/>
        </w:rPr>
        <w:t>НіжинТеплоМережі</w:t>
      </w:r>
      <w:proofErr w:type="spellEnd"/>
      <w:r>
        <w:rPr>
          <w:lang w:val="uk-UA"/>
        </w:rPr>
        <w:t>», за рахунок власних коштів.</w:t>
      </w:r>
    </w:p>
    <w:p w14:paraId="69C6240D" w14:textId="77777777" w:rsidR="00D87E5B" w:rsidRPr="006056CE" w:rsidRDefault="00D87E5B" w:rsidP="00D87E5B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2. Начальнику Управління комунального майна та земельних відносин Ніжинської  міської  ради  Чернігівської  області 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  та    директору товариства з обмеженою відповідальністю «</w:t>
      </w:r>
      <w:proofErr w:type="spellStart"/>
      <w:r>
        <w:rPr>
          <w:lang w:val="uk-UA"/>
        </w:rPr>
        <w:t>НіжинТеплоМережі</w:t>
      </w:r>
      <w:proofErr w:type="spellEnd"/>
      <w:r>
        <w:rPr>
          <w:lang w:val="uk-UA"/>
        </w:rPr>
        <w:t xml:space="preserve">»               Ісаєнко Л.М., вжити заходи щодо реалізації цього рішення відповідно до вимог </w:t>
      </w:r>
      <w:r>
        <w:rPr>
          <w:szCs w:val="28"/>
          <w:lang w:val="uk-UA"/>
        </w:rPr>
        <w:t xml:space="preserve">Закону України «Про оренду державного та комунального майна» від </w:t>
      </w:r>
      <w:r>
        <w:rPr>
          <w:szCs w:val="28"/>
          <w:lang w:val="uk-UA"/>
        </w:rPr>
        <w:lastRenderedPageBreak/>
        <w:t>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14:paraId="7161E80D" w14:textId="77777777" w:rsidR="00D87E5B" w:rsidRPr="005F515B" w:rsidRDefault="00D87E5B" w:rsidP="00D87E5B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szCs w:val="28"/>
          <w:lang w:val="uk-UA"/>
        </w:rPr>
        <w:t>3.</w:t>
      </w:r>
      <w:r>
        <w:rPr>
          <w:rFonts w:eastAsia="Calibri" w:cs="Times New Roman"/>
          <w:lang w:val="uk-UA"/>
        </w:rPr>
        <w:t xml:space="preserve"> </w:t>
      </w:r>
      <w:r w:rsidRPr="005F515B">
        <w:rPr>
          <w:rFonts w:eastAsia="Calibri" w:cs="Times New Roman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</w:t>
      </w:r>
      <w:r>
        <w:rPr>
          <w:rFonts w:eastAsia="Calibri" w:cs="Times New Roman"/>
          <w:lang w:val="uk-UA"/>
        </w:rPr>
        <w:t xml:space="preserve">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5410390D" w14:textId="77777777" w:rsidR="00D87E5B" w:rsidRPr="005F515B" w:rsidRDefault="00D87E5B" w:rsidP="00D87E5B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5F515B">
        <w:rPr>
          <w:rFonts w:eastAsia="Calibri" w:cs="Times New Roman"/>
          <w:lang w:val="uk-UA"/>
        </w:rPr>
        <w:t>Онокало</w:t>
      </w:r>
      <w:proofErr w:type="spellEnd"/>
      <w:r w:rsidRPr="005F515B">
        <w:rPr>
          <w:rFonts w:eastAsia="Calibri" w:cs="Times New Roman"/>
          <w:lang w:val="uk-UA"/>
        </w:rPr>
        <w:t xml:space="preserve"> І. А. та </w:t>
      </w:r>
      <w:r>
        <w:rPr>
          <w:lang w:val="uk-UA"/>
        </w:rPr>
        <w:t>директора товариства з обмеженою відповідальністю «</w:t>
      </w:r>
      <w:proofErr w:type="spellStart"/>
      <w:r>
        <w:rPr>
          <w:lang w:val="uk-UA"/>
        </w:rPr>
        <w:t>НіжинТеплоМережі</w:t>
      </w:r>
      <w:proofErr w:type="spellEnd"/>
      <w:r>
        <w:rPr>
          <w:lang w:val="uk-UA"/>
        </w:rPr>
        <w:t>» Ісаєнко Л.М.</w:t>
      </w:r>
    </w:p>
    <w:p w14:paraId="0D698B28" w14:textId="77777777" w:rsidR="00D87E5B" w:rsidRPr="005F515B" w:rsidRDefault="00D87E5B" w:rsidP="00D87E5B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 xml:space="preserve">5. </w:t>
      </w:r>
      <w:r w:rsidRPr="005F515B">
        <w:rPr>
          <w:rFonts w:eastAsia="Calibri" w:cs="Times New Roman"/>
          <w:lang w:val="uk-UA"/>
        </w:rPr>
        <w:t xml:space="preserve">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14:paraId="250C326F" w14:textId="77777777" w:rsidR="00D87E5B" w:rsidRPr="005F515B" w:rsidRDefault="00D87E5B" w:rsidP="00D87E5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FF788F1" w14:textId="77777777" w:rsidR="00D87E5B" w:rsidRPr="005F515B" w:rsidRDefault="00D87E5B" w:rsidP="00D87E5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64D5D5E" w14:textId="77777777" w:rsidR="00D87E5B" w:rsidRPr="003B5B9B" w:rsidRDefault="00D87E5B" w:rsidP="00D87E5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103B47E" w14:textId="77777777" w:rsidR="00D87E5B" w:rsidRDefault="00D87E5B" w:rsidP="00D87E5B">
      <w:pPr>
        <w:spacing w:after="0"/>
        <w:ind w:right="-284"/>
        <w:rPr>
          <w:rFonts w:eastAsia="Times New Roman" w:cs="Times New Roman"/>
          <w:bCs/>
          <w:szCs w:val="28"/>
          <w:lang w:val="uk-UA" w:eastAsia="ru-RU"/>
        </w:rPr>
      </w:pPr>
      <w:r w:rsidRPr="003B5B9B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>Олександр КОДОЛА</w:t>
      </w:r>
    </w:p>
    <w:p w14:paraId="16301B58" w14:textId="77777777" w:rsidR="00D87E5B" w:rsidRPr="003B5B9B" w:rsidRDefault="00D87E5B" w:rsidP="00D87E5B">
      <w:pPr>
        <w:spacing w:after="0"/>
        <w:ind w:right="-284"/>
        <w:rPr>
          <w:rFonts w:eastAsia="Times New Roman" w:cs="Times New Roman"/>
          <w:bCs/>
          <w:szCs w:val="28"/>
          <w:lang w:val="uk-UA" w:eastAsia="ru-RU"/>
        </w:rPr>
      </w:pPr>
    </w:p>
    <w:p w14:paraId="4E95C314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6269B460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C39A61D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1AA654D8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7A119FAF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1127E5C7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42A6B7AB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10E0F3B1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20F1753D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6A2B77E1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20A2E0F6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239CF843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57ECF356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384011A5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CF1B3E5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2F8F2093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20E16CB7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3145CA2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3F327683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DF95A42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32085837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52CFF57" w14:textId="77777777" w:rsidR="00D87E5B" w:rsidRDefault="00D87E5B" w:rsidP="00D87E5B">
      <w:pPr>
        <w:spacing w:after="0"/>
        <w:ind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2A4C596A" w14:textId="77777777" w:rsidR="00D87E5B" w:rsidRPr="00997258" w:rsidRDefault="00D87E5B" w:rsidP="00D87E5B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14:paraId="4E0F02CF" w14:textId="77777777" w:rsidR="00D87E5B" w:rsidRPr="00997258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0EBAE18" w14:textId="77777777" w:rsidR="00D87E5B" w:rsidRPr="00997258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5C82A1F6" w14:textId="77777777" w:rsidR="00D87E5B" w:rsidRPr="00997258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97258">
        <w:rPr>
          <w:rFonts w:eastAsia="Times New Roman" w:cs="Times New Roman"/>
          <w:szCs w:val="28"/>
          <w:lang w:val="uk-UA" w:eastAsia="ru-RU"/>
        </w:rPr>
        <w:t xml:space="preserve">          Ірина ОНОКАЛО</w:t>
      </w:r>
    </w:p>
    <w:p w14:paraId="1A8C5301" w14:textId="77777777" w:rsidR="00D87E5B" w:rsidRPr="00997258" w:rsidRDefault="00D87E5B" w:rsidP="00D87E5B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45911C7" w14:textId="77777777" w:rsidR="005403B6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</w:t>
      </w:r>
    </w:p>
    <w:p w14:paraId="380BAC8D" w14:textId="77777777" w:rsidR="00D87E5B" w:rsidRPr="00997258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 питань діяльності</w:t>
      </w:r>
      <w:r w:rsidR="005403B6">
        <w:rPr>
          <w:rFonts w:eastAsia="Times New Roman" w:cs="Times New Roman"/>
          <w:szCs w:val="28"/>
          <w:lang w:val="uk-UA" w:eastAsia="ru-RU"/>
        </w:rPr>
        <w:t xml:space="preserve"> </w:t>
      </w:r>
      <w:r w:rsidRPr="0099725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</w:t>
      </w:r>
      <w:r w:rsidR="005403B6">
        <w:rPr>
          <w:rFonts w:eastAsia="Times New Roman" w:cs="Times New Roman"/>
          <w:szCs w:val="28"/>
          <w:lang w:val="uk-UA" w:eastAsia="ru-RU"/>
        </w:rPr>
        <w:t xml:space="preserve"> </w:t>
      </w:r>
      <w:r w:rsidRPr="00997258">
        <w:rPr>
          <w:rFonts w:eastAsia="Times New Roman" w:cs="Times New Roman"/>
          <w:szCs w:val="28"/>
          <w:lang w:val="uk-UA" w:eastAsia="ru-RU"/>
        </w:rPr>
        <w:t xml:space="preserve">                  Федір ВОВЧЕНКО</w:t>
      </w:r>
    </w:p>
    <w:p w14:paraId="32E76BF9" w14:textId="77777777" w:rsidR="00D87E5B" w:rsidRPr="00997258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326059F" w14:textId="77777777" w:rsidR="00D87E5B" w:rsidRPr="00997258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14B2A09F" w14:textId="77777777" w:rsidR="00D87E5B" w:rsidRPr="00997258" w:rsidRDefault="00D87E5B" w:rsidP="00D87E5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3C8B0FB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653A5005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091CAA8F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В’ячеслав ЛЕГА</w:t>
      </w:r>
    </w:p>
    <w:p w14:paraId="2BC7E227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2E3BC078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45538E51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1878149" w14:textId="77777777" w:rsidR="00D87E5B" w:rsidRPr="00997258" w:rsidRDefault="00D87E5B" w:rsidP="00D87E5B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3677886A" w14:textId="77777777" w:rsidR="00D87E5B" w:rsidRPr="00997258" w:rsidRDefault="00D87E5B" w:rsidP="00D87E5B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22B91B82" w14:textId="77777777" w:rsidR="00D87E5B" w:rsidRPr="00997258" w:rsidRDefault="00D87E5B" w:rsidP="00D87E5B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2610B44" w14:textId="77777777" w:rsidR="00D87E5B" w:rsidRPr="00997258" w:rsidRDefault="00D87E5B" w:rsidP="00D87E5B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Сергій САВЧЕНКО</w:t>
      </w:r>
    </w:p>
    <w:p w14:paraId="4FF9FCA7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45E8169" w14:textId="77777777" w:rsidR="00D87E5B" w:rsidRPr="00997258" w:rsidRDefault="00D87E5B" w:rsidP="00D87E5B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89784D0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7CF2070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01C52B7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99DEAC8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99725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2A44CC41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C5CAC09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40A79D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D6B23C7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324858F1" w14:textId="77777777" w:rsidR="00D87E5B" w:rsidRPr="00997258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C88F29D" w14:textId="77777777" w:rsidR="00D87E5B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Валерій САЛОГУБ</w:t>
      </w:r>
    </w:p>
    <w:p w14:paraId="4CD03B70" w14:textId="77777777" w:rsidR="00D87E5B" w:rsidRDefault="00D87E5B" w:rsidP="00D87E5B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B851FB0" w14:textId="77777777" w:rsidR="00000000" w:rsidRPr="00D87E5B" w:rsidRDefault="00000000">
      <w:pPr>
        <w:rPr>
          <w:lang w:val="uk-UA"/>
        </w:rPr>
      </w:pPr>
    </w:p>
    <w:sectPr w:rsidR="00525E2F" w:rsidRPr="00D87E5B" w:rsidSect="00D147D1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5B"/>
    <w:rsid w:val="00150105"/>
    <w:rsid w:val="002E357C"/>
    <w:rsid w:val="005403B6"/>
    <w:rsid w:val="00656B7F"/>
    <w:rsid w:val="00737310"/>
    <w:rsid w:val="00D147D1"/>
    <w:rsid w:val="00D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7266"/>
  <w15:docId w15:val="{1981FAD9-C043-4CA0-B78F-E63C077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5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E5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2916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</cp:revision>
  <cp:lastPrinted>2024-09-26T13:21:00Z</cp:lastPrinted>
  <dcterms:created xsi:type="dcterms:W3CDTF">2024-09-27T06:18:00Z</dcterms:created>
  <dcterms:modified xsi:type="dcterms:W3CDTF">2024-09-27T06:18:00Z</dcterms:modified>
</cp:coreProperties>
</file>