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19DEA" w14:textId="77777777"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2BB14AA4" wp14:editId="4B894D52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EEC0" w14:textId="77777777"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7B264C" w14:textId="77777777"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57916D7" w14:textId="77777777" w:rsidR="00EA4958" w:rsidRDefault="00EA4958" w:rsidP="00EA4958">
      <w:pPr>
        <w:jc w:val="center"/>
        <w:rPr>
          <w:sz w:val="6"/>
          <w:szCs w:val="6"/>
        </w:rPr>
      </w:pPr>
    </w:p>
    <w:p w14:paraId="016DF8CC" w14:textId="77777777"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2EE508B" w14:textId="3CFEF54D" w:rsidR="00EA4958" w:rsidRPr="007F6D3D" w:rsidRDefault="00B84DBE" w:rsidP="00EA4958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8E2BD9">
        <w:rPr>
          <w:sz w:val="32"/>
        </w:rPr>
        <w:t>39</w:t>
      </w:r>
      <w:r w:rsidR="00224959">
        <w:rPr>
          <w:sz w:val="32"/>
        </w:rPr>
        <w:t>_</w:t>
      </w:r>
      <w:r>
        <w:rPr>
          <w:sz w:val="32"/>
        </w:rPr>
        <w:t>_</w:t>
      </w:r>
      <w:r w:rsidR="00EA4958">
        <w:rPr>
          <w:sz w:val="32"/>
        </w:rPr>
        <w:t>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14:paraId="3B94EBAB" w14:textId="77777777"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14:paraId="5B21D836" w14:textId="77777777"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C706855" w14:textId="77777777"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14:paraId="3F5F611E" w14:textId="296A1615"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224959">
        <w:rPr>
          <w:sz w:val="28"/>
          <w:szCs w:val="28"/>
        </w:rPr>
        <w:t>_</w:t>
      </w:r>
      <w:r w:rsidR="008E2BD9">
        <w:rPr>
          <w:sz w:val="28"/>
          <w:szCs w:val="28"/>
        </w:rPr>
        <w:t>06</w:t>
      </w:r>
      <w:r w:rsidR="00224959">
        <w:rPr>
          <w:sz w:val="28"/>
          <w:szCs w:val="28"/>
        </w:rPr>
        <w:t>_</w:t>
      </w:r>
      <w:r w:rsidR="00D910B1">
        <w:rPr>
          <w:sz w:val="28"/>
          <w:szCs w:val="28"/>
        </w:rPr>
        <w:t xml:space="preserve"> </w:t>
      </w:r>
      <w:r w:rsidR="00224959">
        <w:rPr>
          <w:sz w:val="28"/>
          <w:szCs w:val="28"/>
        </w:rPr>
        <w:t xml:space="preserve">серпня </w:t>
      </w:r>
      <w:r w:rsidR="00D910B1">
        <w:rPr>
          <w:sz w:val="28"/>
          <w:szCs w:val="28"/>
        </w:rPr>
        <w:t xml:space="preserve"> 2024 року</w:t>
      </w:r>
      <w:r w:rsidR="00B84DBE"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="00DE39E3">
        <w:rPr>
          <w:sz w:val="28"/>
          <w:szCs w:val="28"/>
          <w:lang w:val="ru-RU"/>
        </w:rPr>
        <w:t xml:space="preserve">     </w:t>
      </w:r>
      <w:r w:rsidR="007747D5">
        <w:rPr>
          <w:sz w:val="28"/>
          <w:szCs w:val="28"/>
          <w:lang w:val="ru-RU"/>
        </w:rPr>
        <w:t xml:space="preserve">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224959">
        <w:rPr>
          <w:sz w:val="28"/>
          <w:szCs w:val="28"/>
          <w:lang w:val="ru-RU"/>
        </w:rPr>
        <w:t>_</w:t>
      </w:r>
      <w:r w:rsidR="008E2BD9">
        <w:rPr>
          <w:sz w:val="28"/>
          <w:szCs w:val="28"/>
          <w:lang w:val="ru-RU"/>
        </w:rPr>
        <w:t>32-39/2024</w:t>
      </w:r>
    </w:p>
    <w:p w14:paraId="491D8660" w14:textId="77777777" w:rsidR="00EA4958" w:rsidRDefault="00EA4958" w:rsidP="00EA4958">
      <w:pPr>
        <w:jc w:val="both"/>
        <w:rPr>
          <w:sz w:val="28"/>
          <w:szCs w:val="28"/>
        </w:rPr>
      </w:pPr>
    </w:p>
    <w:p w14:paraId="005675DF" w14:textId="77777777" w:rsidR="00E376D3" w:rsidRPr="00FA383D" w:rsidRDefault="00E376D3" w:rsidP="00EA4958">
      <w:pPr>
        <w:jc w:val="both"/>
        <w:rPr>
          <w:sz w:val="28"/>
          <w:szCs w:val="28"/>
        </w:rPr>
      </w:pPr>
    </w:p>
    <w:p w14:paraId="0CB8FFD9" w14:textId="3654A8EF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303BDBAF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036796BA" w14:textId="45FFC5DC"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353BEA">
        <w:rPr>
          <w:sz w:val="28"/>
          <w:szCs w:val="28"/>
        </w:rPr>
        <w:t>25, 26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14:paraId="380E225B" w14:textId="67C30C2F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344AD1"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BE1B86">
        <w:rPr>
          <w:bCs/>
          <w:sz w:val="28"/>
          <w:szCs w:val="28"/>
        </w:rPr>
        <w:t>08</w:t>
      </w:r>
      <w:r w:rsidRPr="00EA4958">
        <w:rPr>
          <w:bCs/>
          <w:sz w:val="28"/>
          <w:szCs w:val="28"/>
        </w:rPr>
        <w:t>.12.202</w:t>
      </w:r>
      <w:r w:rsidR="00BE1B86"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 xml:space="preserve"> №</w:t>
      </w:r>
      <w:r w:rsidR="00BE1B86">
        <w:rPr>
          <w:bCs/>
          <w:sz w:val="28"/>
          <w:szCs w:val="28"/>
        </w:rPr>
        <w:t>2</w:t>
      </w:r>
      <w:r w:rsidRPr="00EA4958">
        <w:rPr>
          <w:bCs/>
          <w:sz w:val="28"/>
          <w:szCs w:val="28"/>
        </w:rPr>
        <w:t>-</w:t>
      </w:r>
      <w:r w:rsidR="00BE1B86">
        <w:rPr>
          <w:bCs/>
          <w:sz w:val="28"/>
          <w:szCs w:val="28"/>
        </w:rPr>
        <w:t>3</w:t>
      </w:r>
      <w:r w:rsidR="00224959">
        <w:rPr>
          <w:bCs/>
          <w:sz w:val="28"/>
          <w:szCs w:val="28"/>
        </w:rPr>
        <w:t>5</w:t>
      </w:r>
      <w:r w:rsidRPr="00EA4958">
        <w:rPr>
          <w:bCs/>
          <w:sz w:val="28"/>
          <w:szCs w:val="28"/>
        </w:rPr>
        <w:t>/202</w:t>
      </w:r>
      <w:r w:rsidR="00BE1B86">
        <w:rPr>
          <w:bCs/>
          <w:sz w:val="28"/>
          <w:szCs w:val="28"/>
        </w:rPr>
        <w:t>3</w:t>
      </w:r>
      <w:r w:rsidR="00D4723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14:paraId="1148CD29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14:paraId="30F3580A" w14:textId="77777777"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02854FAD" w14:textId="77777777"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4F4E63BB" w14:textId="77777777" w:rsidR="00AC5687" w:rsidRDefault="00AC5687" w:rsidP="00AC5687">
      <w:pPr>
        <w:jc w:val="both"/>
        <w:rPr>
          <w:sz w:val="28"/>
          <w:szCs w:val="28"/>
        </w:rPr>
      </w:pPr>
    </w:p>
    <w:p w14:paraId="0D54EC82" w14:textId="77777777" w:rsidR="00AC5687" w:rsidRDefault="00AC5687" w:rsidP="00AC5687">
      <w:pPr>
        <w:jc w:val="both"/>
        <w:rPr>
          <w:sz w:val="28"/>
          <w:szCs w:val="28"/>
        </w:rPr>
      </w:pPr>
    </w:p>
    <w:p w14:paraId="0E01ED1A" w14:textId="77777777"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7AF1C8EC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28B5F4B4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677977AD" w14:textId="77777777"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14:paraId="39F12355" w14:textId="78B852BE"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14:paraId="72E5348A" w14:textId="77777777"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5E1D88F8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E1C6F3B" w14:textId="42CDCEF6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BE1B86">
        <w:rPr>
          <w:sz w:val="28"/>
          <w:szCs w:val="28"/>
        </w:rPr>
        <w:t>4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13E3FBCF" w14:textId="77777777" w:rsidR="00CE3D42" w:rsidRPr="00916DE5" w:rsidRDefault="00CE3D42" w:rsidP="00CE3D42">
      <w:pPr>
        <w:rPr>
          <w:sz w:val="18"/>
          <w:szCs w:val="18"/>
        </w:rPr>
      </w:pPr>
    </w:p>
    <w:p w14:paraId="2C3FF1B8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C28D831" w14:textId="5710F2AC" w:rsidR="00CE3D42" w:rsidRDefault="00BE1B86" w:rsidP="00CE3D4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25, 26, 42, 59, 61</w:t>
      </w:r>
      <w:r w:rsidR="00CE3D42">
        <w:rPr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="00CE3D42">
        <w:rPr>
          <w:sz w:val="28"/>
          <w:szCs w:val="28"/>
          <w:lang w:val="en-US"/>
        </w:rPr>
        <w:t>VIII</w:t>
      </w:r>
      <w:r w:rsidR="00CE3D42"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 w:rsidR="00CE3D42"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 w:rsidR="00CE3D42"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 w:rsidR="00CE3D42"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 w:rsidR="00CE3D42"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 w:rsidR="00CE3D42"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 w:rsidR="00CE3D42">
        <w:rPr>
          <w:sz w:val="28"/>
          <w:szCs w:val="28"/>
        </w:rPr>
        <w:t xml:space="preserve">ст. 10,20,89,91 Бюджетного кодексу України, </w:t>
      </w:r>
      <w:r w:rsidR="00CE3D42"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 w:rsidR="00CE3D42">
        <w:rPr>
          <w:noProof/>
          <w:sz w:val="28"/>
        </w:rPr>
        <w:t>4</w:t>
      </w:r>
      <w:r>
        <w:rPr>
          <w:noProof/>
          <w:sz w:val="28"/>
        </w:rPr>
        <w:t xml:space="preserve"> (зі змінами)</w:t>
      </w:r>
      <w:r w:rsidR="00CE3D42">
        <w:rPr>
          <w:noProof/>
          <w:sz w:val="28"/>
        </w:rPr>
        <w:t xml:space="preserve">, </w:t>
      </w:r>
      <w:r w:rsidR="00CE3D42"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CE3D42">
        <w:rPr>
          <w:noProof/>
          <w:sz w:val="28"/>
        </w:rPr>
        <w:t>,</w:t>
      </w:r>
      <w:r w:rsidR="00CE3D42" w:rsidRPr="00767177">
        <w:rPr>
          <w:noProof/>
          <w:sz w:val="28"/>
        </w:rPr>
        <w:t xml:space="preserve"> </w:t>
      </w:r>
      <w:r w:rsidR="00CE3D42"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</w:t>
      </w:r>
      <w:proofErr w:type="spellStart"/>
      <w:r w:rsidR="00CE3D42">
        <w:rPr>
          <w:sz w:val="28"/>
          <w:szCs w:val="28"/>
        </w:rPr>
        <w:t>закупівель</w:t>
      </w:r>
      <w:proofErr w:type="spellEnd"/>
      <w:r w:rsidR="00CE3D42">
        <w:rPr>
          <w:sz w:val="28"/>
          <w:szCs w:val="28"/>
        </w:rPr>
        <w:t xml:space="preserve">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 w:rsidR="00CE3D42"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>
        <w:rPr>
          <w:sz w:val="28"/>
          <w:szCs w:val="28"/>
        </w:rPr>
        <w:t>4</w:t>
      </w:r>
      <w:r w:rsidR="00CE3D42"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="0053248E" w:rsidRPr="00EA4958">
        <w:rPr>
          <w:bCs/>
          <w:sz w:val="28"/>
          <w:szCs w:val="28"/>
        </w:rPr>
        <w:t>.12.202</w:t>
      </w:r>
      <w:r w:rsidR="00344AD1">
        <w:rPr>
          <w:bCs/>
          <w:sz w:val="28"/>
          <w:szCs w:val="28"/>
        </w:rPr>
        <w:t>3</w:t>
      </w:r>
      <w:r w:rsidR="0053248E"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</w:t>
      </w:r>
      <w:r w:rsidR="0053248E" w:rsidRPr="00EA49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35</w:t>
      </w:r>
      <w:r w:rsidR="0053248E"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3</w:t>
      </w:r>
      <w:r w:rsidR="00CE3D42">
        <w:rPr>
          <w:noProof/>
          <w:sz w:val="28"/>
        </w:rPr>
        <w:t>.</w:t>
      </w:r>
      <w:r w:rsidR="00CE3D42">
        <w:rPr>
          <w:sz w:val="28"/>
          <w:szCs w:val="28"/>
        </w:rPr>
        <w:t xml:space="preserve"> </w:t>
      </w:r>
    </w:p>
    <w:p w14:paraId="35FA9A0E" w14:textId="77777777" w:rsidR="00CE3D42" w:rsidRPr="00916DE5" w:rsidRDefault="00CE3D42" w:rsidP="00CE3D42">
      <w:pPr>
        <w:rPr>
          <w:sz w:val="18"/>
          <w:szCs w:val="18"/>
        </w:rPr>
      </w:pPr>
    </w:p>
    <w:p w14:paraId="69F4E526" w14:textId="77777777"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7307C961" w14:textId="2B2ACDF5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134D42">
        <w:rPr>
          <w:sz w:val="28"/>
          <w:szCs w:val="28"/>
        </w:rPr>
        <w:t>4</w:t>
      </w:r>
      <w:r>
        <w:rPr>
          <w:sz w:val="28"/>
          <w:szCs w:val="28"/>
        </w:rPr>
        <w:t xml:space="preserve"> році</w:t>
      </w:r>
      <w:r w:rsidR="0002421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 w:rsidR="0002421E">
        <w:rPr>
          <w:sz w:val="28"/>
          <w:szCs w:val="28"/>
        </w:rPr>
        <w:t xml:space="preserve"> видатків.</w:t>
      </w:r>
    </w:p>
    <w:p w14:paraId="0CC581A2" w14:textId="77777777" w:rsidR="00CE3D42" w:rsidRPr="00916DE5" w:rsidRDefault="00CE3D42" w:rsidP="00CE3D42">
      <w:pPr>
        <w:ind w:firstLine="851"/>
        <w:rPr>
          <w:sz w:val="18"/>
          <w:szCs w:val="18"/>
          <w:u w:val="single"/>
        </w:rPr>
      </w:pPr>
    </w:p>
    <w:p w14:paraId="100ACCD7" w14:textId="77777777"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0961154C" w14:textId="77777777"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6C7AB922" w14:textId="750DBF82" w:rsidR="00916DE5" w:rsidRDefault="00916DE5" w:rsidP="00916DE5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B84DBE" w:rsidRPr="00FA0BD7" w14:paraId="059BE178" w14:textId="77777777" w:rsidTr="00B84DB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9E806" w14:textId="77777777" w:rsidR="00B84DBE" w:rsidRPr="00B84DBE" w:rsidRDefault="00B84DBE" w:rsidP="00B84DBE">
            <w:pPr>
              <w:jc w:val="center"/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6E6AD" w14:textId="77777777" w:rsidR="00B84DBE" w:rsidRPr="00B84DBE" w:rsidRDefault="00B84DBE" w:rsidP="00B84DBE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C530A" w14:textId="77777777" w:rsidR="00B84DBE" w:rsidRPr="00FA0BD7" w:rsidRDefault="00B84DBE" w:rsidP="00B84DB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6A7874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B03E08" w:rsidRPr="00FA0BD7" w14:paraId="73AA4F0A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44247" w14:textId="77777777" w:rsidR="00B03E08" w:rsidRPr="00FA0BD7" w:rsidRDefault="00B03E08" w:rsidP="00AD798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F8B43" w14:textId="77777777" w:rsidR="00B03E08" w:rsidRPr="00FA0BD7" w:rsidRDefault="00B03E08" w:rsidP="00AD79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5BCE71B7" w14:textId="77777777" w:rsidR="00B03E08" w:rsidRPr="00FA0BD7" w:rsidRDefault="00B03E08" w:rsidP="00AD798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</w:t>
            </w:r>
            <w:r w:rsidRPr="00FA0BD7">
              <w:rPr>
                <w:sz w:val="20"/>
                <w:lang w:eastAsia="en-US"/>
              </w:rPr>
              <w:lastRenderedPageBreak/>
              <w:t xml:space="preserve">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D545F" w14:textId="40104E65" w:rsidR="00B03E08" w:rsidRPr="00FA0BD7" w:rsidRDefault="00766468" w:rsidP="00766468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  <w:r w:rsidR="00B03E08">
              <w:rPr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B03E08" w:rsidRPr="00FA0BD7">
              <w:rPr>
                <w:sz w:val="20"/>
              </w:rPr>
              <w:t>0</w:t>
            </w:r>
            <w:r w:rsidR="00B03E08">
              <w:rPr>
                <w:sz w:val="20"/>
              </w:rPr>
              <w:t> </w:t>
            </w:r>
            <w:r w:rsidR="00B03E08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A80A7" w14:textId="77777777" w:rsidR="00B03E08" w:rsidRPr="00FA0BD7" w:rsidRDefault="00B03E08" w:rsidP="00AD798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33B64CBA" w14:textId="77777777" w:rsidR="00B03E08" w:rsidRPr="00FA0BD7" w:rsidRDefault="00B03E08" w:rsidP="00AD7984">
            <w:pPr>
              <w:rPr>
                <w:sz w:val="20"/>
              </w:rPr>
            </w:pPr>
          </w:p>
        </w:tc>
      </w:tr>
      <w:tr w:rsidR="00B03E08" w:rsidRPr="00FA0BD7" w14:paraId="15A2ED26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91E6D" w14:textId="77777777" w:rsidR="00B03E08" w:rsidRPr="00FA0BD7" w:rsidRDefault="00B03E08" w:rsidP="00AD7984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0EE67" w14:textId="77777777" w:rsidR="00B03E08" w:rsidRPr="00FA0BD7" w:rsidRDefault="00B03E08" w:rsidP="00AD7984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69EBC" w14:textId="02EAFDB0" w:rsidR="00B03E08" w:rsidRPr="00FA0BD7" w:rsidRDefault="00766468" w:rsidP="0076646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224959">
              <w:rPr>
                <w:sz w:val="20"/>
              </w:rPr>
              <w:t> </w:t>
            </w:r>
            <w:r>
              <w:rPr>
                <w:sz w:val="20"/>
              </w:rPr>
              <w:t>00</w:t>
            </w:r>
            <w:r w:rsidR="00224959">
              <w:rPr>
                <w:sz w:val="20"/>
              </w:rPr>
              <w:t xml:space="preserve">0 </w:t>
            </w:r>
            <w:r w:rsidR="00344AD1">
              <w:rPr>
                <w:sz w:val="20"/>
              </w:rPr>
              <w:t xml:space="preserve"> 000</w:t>
            </w:r>
            <w:r w:rsidR="00224959">
              <w:rPr>
                <w:sz w:val="20"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490C6" w14:textId="77777777" w:rsidR="00B03E08" w:rsidRPr="00FA0BD7" w:rsidRDefault="00B03E08" w:rsidP="00AD7984">
            <w:pPr>
              <w:rPr>
                <w:sz w:val="20"/>
              </w:rPr>
            </w:pPr>
          </w:p>
        </w:tc>
      </w:tr>
    </w:tbl>
    <w:p w14:paraId="2BCE3CB7" w14:textId="77777777"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14:paraId="21FC0FA0" w14:textId="77777777"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5DF02A1D" w14:textId="22A26F43"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14:paraId="5A026CD7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531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5FE6" w14:textId="77777777"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F85B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A4A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344AD1" w:rsidRPr="00FA0BD7" w14:paraId="244CA0FD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76AAE" w14:textId="77777777" w:rsidR="00344AD1" w:rsidRPr="00FA0BD7" w:rsidRDefault="00344AD1" w:rsidP="00AD798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47619" w14:textId="77777777" w:rsidR="00344AD1" w:rsidRPr="00FA0BD7" w:rsidRDefault="00344AD1" w:rsidP="00AD79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04134B3E" w14:textId="18E1A834" w:rsidR="00344AD1" w:rsidRPr="00FA0BD7" w:rsidRDefault="00344AD1" w:rsidP="00462F2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</w:t>
            </w:r>
            <w:r w:rsidR="00224959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="00224959">
              <w:rPr>
                <w:sz w:val="20"/>
              </w:rPr>
              <w:t>БпАК</w:t>
            </w:r>
            <w:proofErr w:type="spellEnd"/>
            <w:r w:rsidR="00224959">
              <w:rPr>
                <w:sz w:val="20"/>
              </w:rPr>
              <w:t>)</w:t>
            </w:r>
            <w:r w:rsidR="00766468">
              <w:rPr>
                <w:sz w:val="20"/>
              </w:rPr>
              <w:t xml:space="preserve">, </w:t>
            </w:r>
            <w:r w:rsidR="00462F26">
              <w:rPr>
                <w:sz w:val="20"/>
              </w:rPr>
              <w:t>світлові пошукові системи (</w:t>
            </w:r>
            <w:r w:rsidR="0050469F">
              <w:rPr>
                <w:sz w:val="20"/>
              </w:rPr>
              <w:t>прожектори, лазерні вказівники) тощо,</w:t>
            </w:r>
            <w:r w:rsidRPr="00FA0BD7">
              <w:rPr>
                <w:sz w:val="20"/>
                <w:lang w:eastAsia="en-US"/>
              </w:rPr>
              <w:t xml:space="preserve"> автотранспор</w:t>
            </w:r>
            <w:r w:rsidR="00224959">
              <w:rPr>
                <w:sz w:val="20"/>
                <w:lang w:eastAsia="en-US"/>
              </w:rPr>
              <w:t xml:space="preserve">тних засобів, </w:t>
            </w:r>
            <w:r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іншого,</w:t>
            </w:r>
            <w:r w:rsidR="00224959">
              <w:rPr>
                <w:sz w:val="20"/>
                <w:lang w:eastAsia="en-US"/>
              </w:rPr>
              <w:t xml:space="preserve"> автозапчасти</w:t>
            </w:r>
            <w:r w:rsidR="00144325">
              <w:rPr>
                <w:sz w:val="20"/>
                <w:lang w:eastAsia="en-US"/>
              </w:rPr>
              <w:t>н</w:t>
            </w:r>
            <w:r w:rsidR="00224959">
              <w:rPr>
                <w:sz w:val="20"/>
                <w:lang w:eastAsia="en-US"/>
              </w:rPr>
              <w:t>,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3A38CD" w14:textId="78F97DA8" w:rsidR="00344AD1" w:rsidRPr="00FA0BD7" w:rsidRDefault="00344AD1" w:rsidP="00AD79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</w:t>
            </w:r>
            <w:r w:rsidRPr="00FA0BD7">
              <w:rPr>
                <w:sz w:val="20"/>
              </w:rPr>
              <w:t>0</w:t>
            </w:r>
            <w:r w:rsidR="00224959"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  <w:r w:rsidR="00224959">
              <w:rPr>
                <w:sz w:val="20"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201EB" w14:textId="77777777" w:rsidR="00344AD1" w:rsidRPr="00FA0BD7" w:rsidRDefault="00344AD1" w:rsidP="00AD798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31304826" w14:textId="77777777" w:rsidR="00344AD1" w:rsidRPr="00FA0BD7" w:rsidRDefault="00344AD1" w:rsidP="00AD7984">
            <w:pPr>
              <w:rPr>
                <w:sz w:val="20"/>
              </w:rPr>
            </w:pPr>
          </w:p>
        </w:tc>
      </w:tr>
      <w:tr w:rsidR="00344AD1" w:rsidRPr="00FA0BD7" w14:paraId="5FFD3CED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8D2D1" w14:textId="77777777" w:rsidR="00344AD1" w:rsidRPr="00FA0BD7" w:rsidRDefault="00344AD1" w:rsidP="00AD7984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C6BA6" w14:textId="77777777" w:rsidR="00344AD1" w:rsidRPr="00FA0BD7" w:rsidRDefault="00344AD1" w:rsidP="00AD7984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AA356" w14:textId="72643C7B" w:rsidR="00344AD1" w:rsidRPr="00FA0BD7" w:rsidRDefault="00344AD1" w:rsidP="00AD79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E8E099" w14:textId="77777777" w:rsidR="00344AD1" w:rsidRPr="00FA0BD7" w:rsidRDefault="00344AD1" w:rsidP="00AD7984">
            <w:pPr>
              <w:rPr>
                <w:sz w:val="20"/>
              </w:rPr>
            </w:pPr>
          </w:p>
        </w:tc>
      </w:tr>
    </w:tbl>
    <w:p w14:paraId="11E72AB7" w14:textId="77777777"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14:paraId="6C5E6D1E" w14:textId="77777777"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7D8D1267" w14:textId="02843330"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344AD1">
        <w:rPr>
          <w:sz w:val="28"/>
          <w:szCs w:val="28"/>
        </w:rPr>
        <w:t>4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</w:t>
      </w:r>
      <w:r w:rsidR="005E60D5">
        <w:rPr>
          <w:sz w:val="28"/>
          <w:szCs w:val="28"/>
        </w:rPr>
        <w:t xml:space="preserve"> та розширить  перелік товарів, необхідних для придбання для потреб ЗСУ</w:t>
      </w:r>
      <w:r w:rsidR="00942E2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.</w:t>
      </w:r>
    </w:p>
    <w:p w14:paraId="2807F906" w14:textId="77777777" w:rsidR="00CE3D42" w:rsidRPr="00916DE5" w:rsidRDefault="00CE3D42" w:rsidP="00CE3D42">
      <w:pPr>
        <w:rPr>
          <w:sz w:val="18"/>
          <w:szCs w:val="18"/>
        </w:rPr>
      </w:pPr>
    </w:p>
    <w:p w14:paraId="54E91B8B" w14:textId="19FF0B42" w:rsidR="00CE3D42" w:rsidRDefault="00224959" w:rsidP="00CE3D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Т.в.о.н</w:t>
      </w:r>
      <w:r w:rsidR="00CE3D4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 xml:space="preserve"> відділу </w:t>
      </w:r>
    </w:p>
    <w:p w14:paraId="0DD27E76" w14:textId="15D8995A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224959">
        <w:rPr>
          <w:sz w:val="28"/>
          <w:szCs w:val="28"/>
        </w:rPr>
        <w:t>Сергій МУРАШКО</w:t>
      </w:r>
      <w:r>
        <w:rPr>
          <w:b/>
          <w:sz w:val="28"/>
          <w:szCs w:val="28"/>
        </w:rPr>
        <w:t xml:space="preserve"> </w:t>
      </w:r>
    </w:p>
    <w:p w14:paraId="5F4A3BF9" w14:textId="77777777"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6FCEDCB3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652733BA" w14:textId="77777777" w:rsidR="00373135" w:rsidRDefault="006C5935" w:rsidP="00134D42">
      <w:pPr>
        <w:ind w:left="5812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D910B1">
        <w:rPr>
          <w:bCs/>
        </w:rPr>
        <w:t>08.02.2024</w:t>
      </w:r>
      <w:r w:rsidR="00B84DBE">
        <w:rPr>
          <w:bCs/>
        </w:rPr>
        <w:t xml:space="preserve"> № </w:t>
      </w:r>
      <w:r w:rsidR="00D910B1">
        <w:rPr>
          <w:bCs/>
        </w:rPr>
        <w:t>2-36/2024</w:t>
      </w:r>
    </w:p>
    <w:p w14:paraId="716FEE66" w14:textId="780971D7" w:rsidR="006C5935" w:rsidRDefault="00373135" w:rsidP="00134D42">
      <w:pPr>
        <w:ind w:left="5812"/>
        <w:rPr>
          <w:bCs/>
        </w:rPr>
      </w:pPr>
      <w:r>
        <w:rPr>
          <w:bCs/>
        </w:rPr>
        <w:t>Від 06.08.2024 № 32-39/2024</w:t>
      </w:r>
      <w:r w:rsidR="006C5935">
        <w:rPr>
          <w:bCs/>
        </w:rPr>
        <w:t>)</w:t>
      </w:r>
    </w:p>
    <w:p w14:paraId="043FDA2B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20A157E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B6CA54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FA0BD7" w14:paraId="3712D31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F14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E95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A2B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FA0BD7" w14:paraId="3717BA7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1B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779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2E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14E17D1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2989923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DBBD354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49A6F496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5020BBD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A89250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5A5F6A4B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97DA1C8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03B423AB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C8F877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28F0C08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FA0BD7" w14:paraId="5BF0BBC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785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D5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E14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FA0BD7" w14:paraId="43D74C3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B9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B9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5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4F75BB1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297C7C2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428D137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C2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FB6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48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4CD673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6FC40A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26483010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3A68ABE8" w14:textId="77777777" w:rsidR="00134D42" w:rsidRPr="00970831" w:rsidRDefault="00134D42" w:rsidP="008871A1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5C97B1C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FA0BD7" w14:paraId="3A7957D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77B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D69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549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134D42" w:rsidRPr="00FA0BD7" w14:paraId="03E411D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5906" w14:textId="77777777" w:rsidR="00134D42" w:rsidRPr="00FA0BD7" w:rsidRDefault="00134D42" w:rsidP="008871A1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26F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14CBB5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C93B" w14:textId="77777777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3A23A0FE" w14:textId="3BEF4F2F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000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FA0BD7" w14:paraId="4268E261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EE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81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B0E" w14:textId="55C25657" w:rsidR="00134D42" w:rsidRPr="00253ACD" w:rsidRDefault="00134D42" w:rsidP="008871A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00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sz w:val="20"/>
              </w:rPr>
              <w:t xml:space="preserve"> </w:t>
            </w:r>
            <w:r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0"/>
    </w:tbl>
    <w:p w14:paraId="4CC18937" w14:textId="77777777" w:rsidR="00134D42" w:rsidRDefault="00134D42" w:rsidP="00134D42">
      <w:pPr>
        <w:ind w:firstLine="851"/>
        <w:jc w:val="center"/>
        <w:rPr>
          <w:b/>
          <w:szCs w:val="24"/>
        </w:rPr>
      </w:pPr>
    </w:p>
    <w:p w14:paraId="37B9E4FD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19287DD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D730DD7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61E6C1F4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CAB871A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0B6AEC01" w14:textId="77777777" w:rsidR="00134D42" w:rsidRPr="00F23F1C" w:rsidRDefault="00134D42" w:rsidP="00134D42">
      <w:pPr>
        <w:ind w:firstLine="851"/>
        <w:jc w:val="center"/>
        <w:rPr>
          <w:b/>
          <w:szCs w:val="24"/>
          <w:lang w:val="ru-RU"/>
        </w:rPr>
      </w:pPr>
    </w:p>
    <w:p w14:paraId="1FECAA12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54547DC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DE29C29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598DB78C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2CC749DB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746921C9" w14:textId="77777777" w:rsidR="00134D42" w:rsidRPr="00F23F1C" w:rsidRDefault="00134D42" w:rsidP="00134D42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004203F3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F9E325A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2FEA5EC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2E30474C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0D2BEC21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90E6655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6878BB7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7ABDD133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F0F781A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F7F70E8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071B70F7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42C970C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4F91D5F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23E8A87E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2F94C197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lastRenderedPageBreak/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8D3933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67C2E11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A42405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AB35A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361EA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78430ECF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3F9C1E19" w14:textId="77777777" w:rsidR="00134D42" w:rsidRPr="00FA0BD7" w:rsidRDefault="00134D42" w:rsidP="00134D42">
      <w:pPr>
        <w:rPr>
          <w:szCs w:val="24"/>
        </w:rPr>
      </w:pPr>
    </w:p>
    <w:p w14:paraId="633B8B82" w14:textId="77777777" w:rsidR="00134D42" w:rsidRPr="00FA0BD7" w:rsidRDefault="00134D42" w:rsidP="00134D42">
      <w:pPr>
        <w:rPr>
          <w:szCs w:val="24"/>
        </w:rPr>
      </w:pPr>
    </w:p>
    <w:p w14:paraId="7E63DFAD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888EDCD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1817B85A" w14:textId="77777777" w:rsidR="00134D42" w:rsidRPr="00FA0BD7" w:rsidRDefault="00134D42" w:rsidP="00134D42">
      <w:pPr>
        <w:rPr>
          <w:szCs w:val="24"/>
        </w:rPr>
      </w:pPr>
    </w:p>
    <w:p w14:paraId="6108173B" w14:textId="77777777" w:rsidR="00134D42" w:rsidRPr="00FA0BD7" w:rsidRDefault="00134D42" w:rsidP="00134D42">
      <w:pPr>
        <w:rPr>
          <w:szCs w:val="24"/>
        </w:rPr>
      </w:pPr>
    </w:p>
    <w:p w14:paraId="0E7017AA" w14:textId="77777777" w:rsidR="00134D42" w:rsidRDefault="00134D42" w:rsidP="00134D42">
      <w:pPr>
        <w:rPr>
          <w:szCs w:val="24"/>
        </w:rPr>
      </w:pPr>
    </w:p>
    <w:p w14:paraId="7D489771" w14:textId="77777777" w:rsidR="00134D42" w:rsidRDefault="00134D42" w:rsidP="00134D42">
      <w:pPr>
        <w:rPr>
          <w:szCs w:val="24"/>
        </w:rPr>
      </w:pPr>
    </w:p>
    <w:p w14:paraId="64E6BD37" w14:textId="77777777" w:rsidR="00134D42" w:rsidRDefault="00134D42" w:rsidP="00134D42">
      <w:pPr>
        <w:rPr>
          <w:szCs w:val="24"/>
        </w:rPr>
      </w:pPr>
    </w:p>
    <w:p w14:paraId="02F5C7DE" w14:textId="77777777" w:rsidR="00134D42" w:rsidRDefault="00134D42" w:rsidP="00134D42">
      <w:pPr>
        <w:rPr>
          <w:szCs w:val="24"/>
        </w:rPr>
      </w:pPr>
    </w:p>
    <w:p w14:paraId="2A013DCE" w14:textId="77777777" w:rsidR="00134D42" w:rsidRDefault="00134D42" w:rsidP="00134D42">
      <w:pPr>
        <w:rPr>
          <w:szCs w:val="24"/>
        </w:rPr>
      </w:pPr>
    </w:p>
    <w:p w14:paraId="0CACDD7C" w14:textId="77777777" w:rsidR="00134D42" w:rsidRDefault="00134D42" w:rsidP="00134D42">
      <w:pPr>
        <w:rPr>
          <w:szCs w:val="24"/>
        </w:rPr>
      </w:pPr>
    </w:p>
    <w:p w14:paraId="5EB999C3" w14:textId="77777777" w:rsidR="00134D42" w:rsidRDefault="00134D42" w:rsidP="00134D42">
      <w:pPr>
        <w:rPr>
          <w:szCs w:val="24"/>
        </w:rPr>
      </w:pPr>
    </w:p>
    <w:p w14:paraId="114CC521" w14:textId="77777777" w:rsidR="00134D42" w:rsidRDefault="00134D42" w:rsidP="00134D42">
      <w:pPr>
        <w:rPr>
          <w:szCs w:val="24"/>
        </w:rPr>
      </w:pPr>
    </w:p>
    <w:p w14:paraId="49333D0F" w14:textId="77777777" w:rsidR="00134D42" w:rsidRDefault="00134D42" w:rsidP="00134D42">
      <w:pPr>
        <w:rPr>
          <w:szCs w:val="24"/>
        </w:rPr>
      </w:pPr>
    </w:p>
    <w:p w14:paraId="4DBA3985" w14:textId="77777777" w:rsidR="00134D42" w:rsidRDefault="00134D42" w:rsidP="00134D42">
      <w:pPr>
        <w:rPr>
          <w:szCs w:val="24"/>
        </w:rPr>
      </w:pPr>
    </w:p>
    <w:p w14:paraId="7C3D91AF" w14:textId="77777777" w:rsidR="00134D42" w:rsidRDefault="00134D42" w:rsidP="00134D42">
      <w:pPr>
        <w:rPr>
          <w:szCs w:val="24"/>
        </w:rPr>
      </w:pPr>
    </w:p>
    <w:p w14:paraId="610AD5C4" w14:textId="77777777" w:rsidR="00134D42" w:rsidRDefault="00134D42" w:rsidP="00134D42">
      <w:pPr>
        <w:rPr>
          <w:szCs w:val="24"/>
        </w:rPr>
      </w:pPr>
    </w:p>
    <w:p w14:paraId="77B7AF52" w14:textId="77777777" w:rsidR="00134D42" w:rsidRDefault="00134D42" w:rsidP="00134D42">
      <w:pPr>
        <w:rPr>
          <w:szCs w:val="24"/>
        </w:rPr>
      </w:pPr>
    </w:p>
    <w:p w14:paraId="5CCDC4F0" w14:textId="77777777" w:rsidR="00134D42" w:rsidRDefault="00134D42" w:rsidP="00134D42">
      <w:pPr>
        <w:rPr>
          <w:szCs w:val="24"/>
        </w:rPr>
      </w:pPr>
    </w:p>
    <w:p w14:paraId="5D09179B" w14:textId="77777777" w:rsidR="00134D42" w:rsidRDefault="00134D42" w:rsidP="00134D42">
      <w:pPr>
        <w:rPr>
          <w:szCs w:val="24"/>
        </w:rPr>
      </w:pPr>
    </w:p>
    <w:p w14:paraId="40DB8F24" w14:textId="77777777" w:rsidR="00134D42" w:rsidRDefault="00134D42" w:rsidP="00134D42">
      <w:pPr>
        <w:rPr>
          <w:szCs w:val="24"/>
        </w:rPr>
      </w:pPr>
    </w:p>
    <w:p w14:paraId="420F3F41" w14:textId="77777777" w:rsidR="00134D42" w:rsidRDefault="00134D42" w:rsidP="00134D42">
      <w:pPr>
        <w:rPr>
          <w:szCs w:val="24"/>
        </w:rPr>
      </w:pPr>
    </w:p>
    <w:p w14:paraId="5DFA7F05" w14:textId="77777777" w:rsidR="00134D42" w:rsidRDefault="00134D42" w:rsidP="00134D42">
      <w:pPr>
        <w:rPr>
          <w:szCs w:val="24"/>
        </w:rPr>
      </w:pPr>
    </w:p>
    <w:p w14:paraId="6DE7DDEC" w14:textId="77777777" w:rsidR="00134D42" w:rsidRDefault="00134D42" w:rsidP="00134D42">
      <w:pPr>
        <w:rPr>
          <w:szCs w:val="24"/>
        </w:rPr>
      </w:pPr>
    </w:p>
    <w:p w14:paraId="73399148" w14:textId="77777777" w:rsidR="00134D42" w:rsidRDefault="00134D42" w:rsidP="00134D42">
      <w:pPr>
        <w:rPr>
          <w:szCs w:val="24"/>
        </w:rPr>
      </w:pPr>
    </w:p>
    <w:p w14:paraId="02875C63" w14:textId="77777777" w:rsidR="00134D42" w:rsidRDefault="00134D42" w:rsidP="00134D42">
      <w:pPr>
        <w:rPr>
          <w:szCs w:val="24"/>
        </w:rPr>
      </w:pPr>
    </w:p>
    <w:p w14:paraId="1DF004BA" w14:textId="77777777" w:rsidR="00134D42" w:rsidRDefault="00134D42" w:rsidP="00134D42">
      <w:pPr>
        <w:rPr>
          <w:szCs w:val="24"/>
        </w:rPr>
      </w:pPr>
    </w:p>
    <w:p w14:paraId="1BF22758" w14:textId="77777777" w:rsidR="00134D42" w:rsidRDefault="00134D42" w:rsidP="00134D42">
      <w:pPr>
        <w:rPr>
          <w:szCs w:val="24"/>
        </w:rPr>
      </w:pPr>
    </w:p>
    <w:p w14:paraId="33DC284C" w14:textId="77777777" w:rsidR="00134D42" w:rsidRDefault="00134D42" w:rsidP="00134D42">
      <w:pPr>
        <w:rPr>
          <w:szCs w:val="24"/>
        </w:rPr>
      </w:pPr>
    </w:p>
    <w:p w14:paraId="2002B079" w14:textId="77777777" w:rsidR="00134D42" w:rsidRDefault="00134D42" w:rsidP="00134D42">
      <w:pPr>
        <w:rPr>
          <w:szCs w:val="24"/>
        </w:rPr>
      </w:pPr>
    </w:p>
    <w:p w14:paraId="2238C2AA" w14:textId="77777777" w:rsidR="00134D42" w:rsidRDefault="00134D42" w:rsidP="00134D42">
      <w:pPr>
        <w:jc w:val="right"/>
        <w:rPr>
          <w:b/>
          <w:szCs w:val="24"/>
        </w:rPr>
      </w:pPr>
    </w:p>
    <w:p w14:paraId="7690A9C7" w14:textId="77777777" w:rsidR="00134D42" w:rsidRDefault="00134D42" w:rsidP="00134D42">
      <w:pPr>
        <w:jc w:val="right"/>
        <w:rPr>
          <w:b/>
          <w:szCs w:val="24"/>
        </w:rPr>
      </w:pPr>
    </w:p>
    <w:p w14:paraId="26CE3613" w14:textId="77777777" w:rsidR="00134D42" w:rsidRDefault="00134D42" w:rsidP="00134D42">
      <w:pPr>
        <w:jc w:val="right"/>
        <w:rPr>
          <w:b/>
          <w:szCs w:val="24"/>
        </w:rPr>
      </w:pPr>
    </w:p>
    <w:p w14:paraId="4FFD3744" w14:textId="77777777" w:rsidR="00134D42" w:rsidRDefault="00134D42" w:rsidP="00134D42">
      <w:pPr>
        <w:jc w:val="right"/>
        <w:rPr>
          <w:b/>
          <w:szCs w:val="24"/>
        </w:rPr>
      </w:pPr>
    </w:p>
    <w:p w14:paraId="403E06AB" w14:textId="77777777" w:rsidR="00134D42" w:rsidRDefault="00134D42" w:rsidP="00134D42">
      <w:pPr>
        <w:jc w:val="right"/>
        <w:rPr>
          <w:b/>
          <w:szCs w:val="24"/>
        </w:rPr>
      </w:pPr>
    </w:p>
    <w:p w14:paraId="2692953B" w14:textId="77777777" w:rsidR="00134D42" w:rsidRDefault="00134D42" w:rsidP="00134D42">
      <w:pPr>
        <w:jc w:val="right"/>
        <w:rPr>
          <w:b/>
          <w:szCs w:val="24"/>
        </w:rPr>
      </w:pPr>
    </w:p>
    <w:p w14:paraId="6073BA5E" w14:textId="77777777" w:rsidR="00134D42" w:rsidRDefault="00134D42" w:rsidP="00134D42">
      <w:pPr>
        <w:ind w:left="5670"/>
        <w:rPr>
          <w:b/>
          <w:szCs w:val="24"/>
        </w:rPr>
      </w:pPr>
    </w:p>
    <w:p w14:paraId="52C1A25B" w14:textId="77777777" w:rsidR="00134D42" w:rsidRDefault="00134D42" w:rsidP="00134D42">
      <w:pPr>
        <w:ind w:left="5670"/>
        <w:rPr>
          <w:b/>
          <w:szCs w:val="24"/>
        </w:rPr>
      </w:pPr>
    </w:p>
    <w:p w14:paraId="697E60B6" w14:textId="77777777" w:rsidR="00134D42" w:rsidRDefault="00134D42" w:rsidP="00134D42">
      <w:pPr>
        <w:ind w:left="5670"/>
        <w:rPr>
          <w:b/>
          <w:szCs w:val="24"/>
        </w:rPr>
      </w:pPr>
    </w:p>
    <w:p w14:paraId="30511649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1D0C523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3127A8A8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97DFFCF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51CB8CAD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134D42" w:rsidRPr="00FA0BD7" w14:paraId="1FC7CCFB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8F2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C533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1296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54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FA0BD7" w14:paraId="1E4557DA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7128" w14:textId="77777777" w:rsidR="00134D42" w:rsidRPr="00FA0BD7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D94F" w14:textId="77777777" w:rsidR="00134D42" w:rsidRPr="00FA0BD7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17402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C2F11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2FF67DD0" w14:textId="77777777" w:rsidR="00134D42" w:rsidRPr="00C722B6" w:rsidRDefault="00134D42" w:rsidP="008871A1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134D42" w:rsidRPr="00FA0BD7" w14:paraId="33C5B301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7FE04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8C5A9" w14:textId="77777777" w:rsidR="00134D42" w:rsidRPr="00FA0BD7" w:rsidRDefault="00134D42" w:rsidP="008871A1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1DF38E95" w14:textId="7BBF71E8" w:rsidR="00134D42" w:rsidRPr="00FA0BD7" w:rsidRDefault="00134D42" w:rsidP="00144325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="006826E7">
              <w:rPr>
                <w:sz w:val="20"/>
                <w:lang w:eastAsia="en-US"/>
              </w:rPr>
              <w:t>,</w:t>
            </w:r>
            <w:bookmarkStart w:id="3" w:name="_GoBack"/>
            <w:bookmarkEnd w:id="3"/>
            <w:r w:rsidR="00144325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="00144325">
              <w:rPr>
                <w:sz w:val="20"/>
              </w:rPr>
              <w:t>БпАК</w:t>
            </w:r>
            <w:proofErr w:type="spellEnd"/>
            <w:r w:rsidR="00144325">
              <w:rPr>
                <w:sz w:val="20"/>
              </w:rPr>
              <w:t>)</w:t>
            </w:r>
            <w:r w:rsidR="00705422">
              <w:rPr>
                <w:sz w:val="20"/>
              </w:rPr>
              <w:t>, світлові пошукові системи (прожектори, лазерні вказівники) тощо,</w:t>
            </w:r>
            <w:r w:rsidR="00144325">
              <w:rPr>
                <w:sz w:val="20"/>
              </w:rPr>
              <w:t xml:space="preserve"> </w:t>
            </w:r>
            <w:r w:rsidR="00144325" w:rsidRPr="00FA0BD7">
              <w:rPr>
                <w:sz w:val="20"/>
                <w:lang w:eastAsia="en-US"/>
              </w:rPr>
              <w:t xml:space="preserve"> автотранспор</w:t>
            </w:r>
            <w:r w:rsidR="00144325">
              <w:rPr>
                <w:sz w:val="20"/>
                <w:lang w:eastAsia="en-US"/>
              </w:rPr>
              <w:t xml:space="preserve">тних засобів, </w:t>
            </w:r>
            <w:r w:rsidR="00144325" w:rsidRPr="00FA0BD7">
              <w:rPr>
                <w:sz w:val="20"/>
                <w:lang w:eastAsia="en-US"/>
              </w:rPr>
              <w:t xml:space="preserve"> відшкодування витрат пов’язаних з реєстрацією та перереєстрацією транспортних засобів</w:t>
            </w:r>
            <w:r w:rsidR="00144325"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="00144325" w:rsidRPr="00FA0BD7">
              <w:rPr>
                <w:sz w:val="20"/>
                <w:lang w:eastAsia="en-US"/>
              </w:rPr>
              <w:t>іншого,</w:t>
            </w:r>
            <w:r w:rsidR="00144325">
              <w:rPr>
                <w:sz w:val="20"/>
                <w:lang w:eastAsia="en-US"/>
              </w:rPr>
              <w:t xml:space="preserve"> автозапчастин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A7B9" w14:textId="0528E388" w:rsidR="00134D42" w:rsidRPr="00FA0BD7" w:rsidRDefault="00B03E0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134D42">
              <w:rPr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134D42"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C238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426B91D0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2699E514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EA0E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F9E0" w14:textId="77777777" w:rsidR="00134D42" w:rsidRPr="00253ACD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1B13C" w14:textId="77777777" w:rsidR="00134D42" w:rsidRPr="00253ACD" w:rsidRDefault="00134D42" w:rsidP="008871A1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20BE" w14:textId="77777777" w:rsidR="00134D42" w:rsidRPr="002D7213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113D1186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F1C0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84984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0638FCB0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53429419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3C386AB5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39C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FDA0D" w14:textId="77777777" w:rsidR="00134D42" w:rsidRPr="00C722B6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1D42536E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5EB43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4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F6247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9F7D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6AA5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4"/>
      <w:tr w:rsidR="00134D42" w:rsidRPr="00FA0BD7" w14:paraId="052A57AF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76BCB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F1381" w14:textId="77777777" w:rsidR="00134D42" w:rsidRDefault="00134D42" w:rsidP="008871A1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0DBFDA6" w14:textId="77777777" w:rsidR="00134D42" w:rsidRPr="00FA0BD7" w:rsidRDefault="00134D42" w:rsidP="008871A1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EB594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DA8B44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9B708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18F6534" w14:textId="77777777" w:rsidR="00134D42" w:rsidRPr="00FA0BD7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5705326F" w14:textId="77777777" w:rsidTr="008871A1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53E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ACDA" w14:textId="77777777" w:rsidR="00134D42" w:rsidRPr="00FA0BD7" w:rsidRDefault="00134D42" w:rsidP="008871A1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2586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8691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2626F531" w14:textId="77777777" w:rsidTr="008871A1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AF4D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E1B27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14:paraId="5FB47C82" w14:textId="77777777" w:rsidR="00134D42" w:rsidRDefault="00134D42" w:rsidP="008871A1">
            <w:pPr>
              <w:rPr>
                <w:sz w:val="20"/>
              </w:rPr>
            </w:pPr>
          </w:p>
          <w:p w14:paraId="2A198329" w14:textId="77777777" w:rsidR="00134D42" w:rsidRPr="00FA0BD7" w:rsidRDefault="00134D42" w:rsidP="008871A1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001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847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344AD1" w:rsidRPr="00344AD1" w14:paraId="4B483E4A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92D78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sz w:val="20"/>
              </w:rPr>
              <w:t>9.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382C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344AD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1D930" w14:textId="77777777" w:rsidR="00134D42" w:rsidRPr="00344AD1" w:rsidRDefault="00134D42" w:rsidP="008871A1">
            <w:pPr>
              <w:jc w:val="right"/>
              <w:rPr>
                <w:sz w:val="20"/>
              </w:rPr>
            </w:pPr>
            <w:r w:rsidRPr="00344AD1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5BAD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>Виконком,</w:t>
            </w:r>
          </w:p>
          <w:p w14:paraId="6CEC962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 xml:space="preserve"> </w:t>
            </w:r>
          </w:p>
        </w:tc>
      </w:tr>
      <w:tr w:rsidR="00134D42" w:rsidRPr="00FA0BD7" w14:paraId="074D61CC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6FAE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3509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7769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717A227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4960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AED291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134D42" w:rsidRPr="00FA0BD7" w14:paraId="5D28CB44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2CF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025C7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61052" w14:textId="4544B7DD" w:rsidR="00134D42" w:rsidRPr="00FA0BD7" w:rsidRDefault="00344AD1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</w:t>
            </w:r>
            <w:r w:rsidR="00134D42">
              <w:rPr>
                <w:sz w:val="20"/>
              </w:rPr>
              <w:t>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E923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010ACA9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55193A7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3E606C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A9F0F0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31080B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B26F260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02D3D7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9CE4D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803CC5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4C2413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B4C327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5380EF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2A3D600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1255B2E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CBC961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9D6D23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4B442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F823A2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FE983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F21E439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3D36B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16A27A2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07F616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1C93177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7B9C2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7721D8EE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88C2A1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43738C6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589F945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92C90C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0DBAEB6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6E672DD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1D15FF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385ADB0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1092392C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4A8105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87E51F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4E6DB858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6245D8E4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C9E8343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581E7269" w14:textId="77777777" w:rsidR="0002421E" w:rsidRDefault="0002421E" w:rsidP="00134D42">
      <w:pPr>
        <w:jc w:val="both"/>
        <w:rPr>
          <w:bCs/>
          <w:sz w:val="28"/>
          <w:szCs w:val="28"/>
        </w:rPr>
      </w:pPr>
    </w:p>
    <w:p w14:paraId="2695C261" w14:textId="77777777" w:rsidR="0002421E" w:rsidRPr="00212638" w:rsidRDefault="0002421E" w:rsidP="0002421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t>Візують:</w:t>
      </w:r>
    </w:p>
    <w:p w14:paraId="5A4EDD60" w14:textId="6CEBAADA" w:rsidR="0002421E" w:rsidRDefault="0002421E" w:rsidP="000242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Т.в.о.начальника</w:t>
      </w:r>
      <w:proofErr w:type="spellEnd"/>
      <w:r>
        <w:rPr>
          <w:sz w:val="28"/>
          <w:szCs w:val="28"/>
        </w:rPr>
        <w:t xml:space="preserve">  відділу з питань </w:t>
      </w:r>
    </w:p>
    <w:p w14:paraId="1E8F996C" w14:textId="77777777" w:rsidR="0002421E" w:rsidRDefault="0002421E" w:rsidP="0002421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14:paraId="05FD8D25" w14:textId="72EA7868" w:rsidR="0002421E" w:rsidRPr="00BB5D01" w:rsidRDefault="0002421E" w:rsidP="0002421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Сергій МУРАШКО</w:t>
      </w:r>
    </w:p>
    <w:p w14:paraId="6B1C6DCD" w14:textId="77777777" w:rsidR="0002421E" w:rsidRDefault="0002421E" w:rsidP="0002421E">
      <w:pPr>
        <w:rPr>
          <w:color w:val="FF0000"/>
          <w:sz w:val="28"/>
          <w:szCs w:val="28"/>
        </w:rPr>
      </w:pPr>
    </w:p>
    <w:p w14:paraId="3CAD3581" w14:textId="77777777" w:rsidR="0002421E" w:rsidRPr="00BB5D01" w:rsidRDefault="0002421E" w:rsidP="0002421E">
      <w:pPr>
        <w:rPr>
          <w:color w:val="FF0000"/>
          <w:sz w:val="28"/>
          <w:szCs w:val="28"/>
        </w:rPr>
      </w:pPr>
    </w:p>
    <w:p w14:paraId="5BEA5C38" w14:textId="77777777" w:rsidR="0002421E" w:rsidRDefault="0002421E" w:rsidP="0002421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EA5EF4">
        <w:rPr>
          <w:sz w:val="28"/>
          <w:szCs w:val="28"/>
        </w:rPr>
        <w:t xml:space="preserve">аступник міського голови з питань </w:t>
      </w:r>
    </w:p>
    <w:p w14:paraId="48E0BFB0" w14:textId="77777777" w:rsidR="0002421E" w:rsidRPr="00EA5EF4" w:rsidRDefault="0002421E" w:rsidP="0002421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A5EF4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       Сергій СМАГА</w:t>
      </w:r>
    </w:p>
    <w:p w14:paraId="712699A0" w14:textId="77777777" w:rsidR="0002421E" w:rsidRDefault="0002421E" w:rsidP="0002421E">
      <w:pPr>
        <w:rPr>
          <w:sz w:val="28"/>
          <w:szCs w:val="28"/>
        </w:rPr>
      </w:pPr>
    </w:p>
    <w:p w14:paraId="70E09565" w14:textId="77777777" w:rsidR="0002421E" w:rsidRPr="00EA5EF4" w:rsidRDefault="0002421E" w:rsidP="0002421E">
      <w:pPr>
        <w:rPr>
          <w:sz w:val="28"/>
          <w:szCs w:val="28"/>
        </w:rPr>
      </w:pPr>
    </w:p>
    <w:p w14:paraId="72D030B6" w14:textId="77777777" w:rsidR="0002421E" w:rsidRDefault="0002421E" w:rsidP="0002421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37E99B0C" w14:textId="77777777" w:rsidR="0002421E" w:rsidRDefault="0002421E" w:rsidP="0002421E">
      <w:pPr>
        <w:rPr>
          <w:sz w:val="28"/>
          <w:szCs w:val="28"/>
        </w:rPr>
      </w:pPr>
    </w:p>
    <w:p w14:paraId="17EDE89D" w14:textId="77777777" w:rsidR="0002421E" w:rsidRDefault="0002421E" w:rsidP="00024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1D018CEE" w14:textId="77777777" w:rsidR="0002421E" w:rsidRDefault="0002421E" w:rsidP="0002421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5F883B49" w14:textId="77777777" w:rsidR="0002421E" w:rsidRPr="00EA5EF4" w:rsidRDefault="0002421E" w:rsidP="0002421E">
      <w:pPr>
        <w:rPr>
          <w:sz w:val="28"/>
          <w:szCs w:val="28"/>
        </w:rPr>
      </w:pPr>
    </w:p>
    <w:p w14:paraId="08573B89" w14:textId="77777777" w:rsidR="0002421E" w:rsidRPr="00EA5EF4" w:rsidRDefault="0002421E" w:rsidP="0002421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1593AC59" w14:textId="77777777" w:rsidR="0002421E" w:rsidRPr="00EA5EF4" w:rsidRDefault="0002421E" w:rsidP="0002421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5D4780F0" w14:textId="77777777" w:rsidR="0002421E" w:rsidRPr="00EA5EF4" w:rsidRDefault="0002421E" w:rsidP="0002421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1B2A5048" w14:textId="77777777" w:rsidR="0002421E" w:rsidRPr="00EA5EF4" w:rsidRDefault="0002421E" w:rsidP="0002421E">
      <w:pPr>
        <w:rPr>
          <w:sz w:val="28"/>
          <w:szCs w:val="24"/>
        </w:rPr>
      </w:pPr>
    </w:p>
    <w:p w14:paraId="41568C82" w14:textId="77777777" w:rsidR="0002421E" w:rsidRDefault="0002421E" w:rsidP="0002421E">
      <w:pPr>
        <w:rPr>
          <w:color w:val="000000"/>
          <w:sz w:val="28"/>
          <w:szCs w:val="28"/>
        </w:rPr>
      </w:pPr>
    </w:p>
    <w:p w14:paraId="30593377" w14:textId="77777777" w:rsidR="0002421E" w:rsidRDefault="0002421E" w:rsidP="0002421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691826B5" w14:textId="77777777" w:rsidR="0002421E" w:rsidRDefault="0002421E" w:rsidP="0002421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5E91DCB9" w14:textId="77777777" w:rsidR="0002421E" w:rsidRPr="00EA5EF4" w:rsidRDefault="0002421E" w:rsidP="0002421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1CCD7F6C" w14:textId="77777777" w:rsidR="0002421E" w:rsidRPr="00EA5EF4" w:rsidRDefault="0002421E" w:rsidP="0002421E">
      <w:pPr>
        <w:jc w:val="both"/>
        <w:rPr>
          <w:sz w:val="28"/>
          <w:szCs w:val="28"/>
        </w:rPr>
      </w:pPr>
    </w:p>
    <w:p w14:paraId="129E2063" w14:textId="77777777" w:rsidR="0002421E" w:rsidRPr="00EA5EF4" w:rsidRDefault="0002421E" w:rsidP="0002421E">
      <w:pPr>
        <w:jc w:val="both"/>
        <w:rPr>
          <w:color w:val="FF0000"/>
          <w:sz w:val="28"/>
          <w:szCs w:val="28"/>
        </w:rPr>
      </w:pPr>
    </w:p>
    <w:p w14:paraId="574D3ABF" w14:textId="77777777" w:rsidR="0002421E" w:rsidRDefault="0002421E" w:rsidP="0002421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48D3A7D9" w14:textId="77777777" w:rsidR="0002421E" w:rsidRDefault="0002421E" w:rsidP="0002421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7ADB1056" w14:textId="77777777" w:rsidR="0002421E" w:rsidRDefault="0002421E" w:rsidP="0002421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0F4FCAFC" w14:textId="43D6F262" w:rsidR="0002421E" w:rsidRDefault="0002421E" w:rsidP="0002421E"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p w14:paraId="032ADC66" w14:textId="77777777" w:rsidR="0002421E" w:rsidRDefault="0002421E" w:rsidP="00134D42">
      <w:pPr>
        <w:jc w:val="center"/>
      </w:pPr>
    </w:p>
    <w:p w14:paraId="1E55E709" w14:textId="77777777" w:rsidR="0002421E" w:rsidRDefault="0002421E" w:rsidP="00134D42">
      <w:pPr>
        <w:jc w:val="center"/>
      </w:pPr>
    </w:p>
    <w:p w14:paraId="608CFDAA" w14:textId="77777777" w:rsidR="0002421E" w:rsidRDefault="0002421E" w:rsidP="00134D42">
      <w:pPr>
        <w:jc w:val="center"/>
      </w:pPr>
    </w:p>
    <w:p w14:paraId="1BEC58D9" w14:textId="77777777" w:rsidR="0002421E" w:rsidRDefault="0002421E" w:rsidP="00134D42">
      <w:pPr>
        <w:jc w:val="center"/>
      </w:pPr>
    </w:p>
    <w:sectPr w:rsidR="0002421E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11EFA"/>
    <w:rsid w:val="00022820"/>
    <w:rsid w:val="0002421E"/>
    <w:rsid w:val="00037909"/>
    <w:rsid w:val="00054657"/>
    <w:rsid w:val="000A66C9"/>
    <w:rsid w:val="000D0971"/>
    <w:rsid w:val="000E75B6"/>
    <w:rsid w:val="000F53D5"/>
    <w:rsid w:val="00134D42"/>
    <w:rsid w:val="00144325"/>
    <w:rsid w:val="00154C69"/>
    <w:rsid w:val="002119C7"/>
    <w:rsid w:val="00211F7C"/>
    <w:rsid w:val="00224959"/>
    <w:rsid w:val="00272502"/>
    <w:rsid w:val="00291CBA"/>
    <w:rsid w:val="002D5EA3"/>
    <w:rsid w:val="002F49F5"/>
    <w:rsid w:val="00327D2A"/>
    <w:rsid w:val="00344AD1"/>
    <w:rsid w:val="00353BEA"/>
    <w:rsid w:val="00373135"/>
    <w:rsid w:val="003B26E4"/>
    <w:rsid w:val="003D13CC"/>
    <w:rsid w:val="00462F26"/>
    <w:rsid w:val="004A5AFA"/>
    <w:rsid w:val="004B7B1B"/>
    <w:rsid w:val="0050469F"/>
    <w:rsid w:val="0053248E"/>
    <w:rsid w:val="00536411"/>
    <w:rsid w:val="005431D6"/>
    <w:rsid w:val="005444A0"/>
    <w:rsid w:val="00553F17"/>
    <w:rsid w:val="005A7F59"/>
    <w:rsid w:val="005D07F4"/>
    <w:rsid w:val="005E3A38"/>
    <w:rsid w:val="005E60D5"/>
    <w:rsid w:val="0064222A"/>
    <w:rsid w:val="0064644C"/>
    <w:rsid w:val="006555F9"/>
    <w:rsid w:val="006826E7"/>
    <w:rsid w:val="006C1A4D"/>
    <w:rsid w:val="006C5935"/>
    <w:rsid w:val="00705422"/>
    <w:rsid w:val="00722B16"/>
    <w:rsid w:val="00766468"/>
    <w:rsid w:val="007714AC"/>
    <w:rsid w:val="007747D5"/>
    <w:rsid w:val="007D2F4A"/>
    <w:rsid w:val="00871043"/>
    <w:rsid w:val="008D27CE"/>
    <w:rsid w:val="008D58D2"/>
    <w:rsid w:val="008E2BD9"/>
    <w:rsid w:val="008E7932"/>
    <w:rsid w:val="008F7AD8"/>
    <w:rsid w:val="00916338"/>
    <w:rsid w:val="00916DE5"/>
    <w:rsid w:val="00942E22"/>
    <w:rsid w:val="00970831"/>
    <w:rsid w:val="009D032D"/>
    <w:rsid w:val="009D62A2"/>
    <w:rsid w:val="009E3D11"/>
    <w:rsid w:val="009F0423"/>
    <w:rsid w:val="009F626E"/>
    <w:rsid w:val="00A5108D"/>
    <w:rsid w:val="00A71542"/>
    <w:rsid w:val="00AC5687"/>
    <w:rsid w:val="00AE3811"/>
    <w:rsid w:val="00AE3B7E"/>
    <w:rsid w:val="00AF4965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A6083"/>
    <w:rsid w:val="00CE3D42"/>
    <w:rsid w:val="00D24C1B"/>
    <w:rsid w:val="00D44581"/>
    <w:rsid w:val="00D4723D"/>
    <w:rsid w:val="00D5711E"/>
    <w:rsid w:val="00D910B1"/>
    <w:rsid w:val="00DA2AB3"/>
    <w:rsid w:val="00DB4999"/>
    <w:rsid w:val="00DE39E3"/>
    <w:rsid w:val="00DE61D3"/>
    <w:rsid w:val="00E376D3"/>
    <w:rsid w:val="00E63D3E"/>
    <w:rsid w:val="00E86B11"/>
    <w:rsid w:val="00EA4958"/>
    <w:rsid w:val="00F0362D"/>
    <w:rsid w:val="00F23F1C"/>
    <w:rsid w:val="00F4077F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12661</Words>
  <Characters>7217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13</cp:revision>
  <cp:lastPrinted>2024-07-29T22:06:00Z</cp:lastPrinted>
  <dcterms:created xsi:type="dcterms:W3CDTF">2024-07-29T21:42:00Z</dcterms:created>
  <dcterms:modified xsi:type="dcterms:W3CDTF">2024-08-08T20:27:00Z</dcterms:modified>
</cp:coreProperties>
</file>